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项目名称：第二批献血纪念品等物资</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项目编号：BSRMYY-YNCG-2024-06012</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10.</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11.密封档案袋格式要求。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bookmarkStart w:id="31" w:name="_GoBack"/>
      <w:bookmarkEnd w:id="31"/>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894"/>
        <w:gridCol w:w="4378"/>
        <w:gridCol w:w="1063"/>
        <w:gridCol w:w="980"/>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1894"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推荐</w:t>
            </w:r>
            <w:r>
              <w:rPr>
                <w:rFonts w:hint="default" w:ascii="Times New Roman" w:hAnsi="Times New Roman" w:eastAsia="仿宋" w:cs="Times New Roman"/>
                <w:b/>
                <w:kern w:val="0"/>
                <w:sz w:val="24"/>
                <w:szCs w:val="24"/>
              </w:rPr>
              <w:t>产品</w:t>
            </w:r>
          </w:p>
        </w:tc>
        <w:tc>
          <w:tcPr>
            <w:tcW w:w="4378"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063"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规格</w:t>
            </w:r>
          </w:p>
        </w:tc>
        <w:tc>
          <w:tcPr>
            <w:tcW w:w="980"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最高单价（元）</w:t>
            </w:r>
          </w:p>
        </w:tc>
        <w:tc>
          <w:tcPr>
            <w:tcW w:w="1612" w:type="dxa"/>
            <w:vAlign w:val="center"/>
          </w:tcPr>
          <w:p>
            <w:pPr>
              <w:widowControl/>
              <w:spacing w:line="360" w:lineRule="auto"/>
              <w:jc w:val="center"/>
              <w:rPr>
                <w:rFonts w:hint="default" w:eastAsia="仿宋" w:cs="Times New Roman"/>
                <w:b/>
                <w:kern w:val="0"/>
                <w:sz w:val="24"/>
                <w:szCs w:val="24"/>
                <w:lang w:val="en-US" w:eastAsia="zh-CN"/>
              </w:rPr>
            </w:pPr>
            <w:r>
              <w:rPr>
                <w:rFonts w:hint="eastAsia" w:eastAsia="仿宋" w:cs="Times New Roman"/>
                <w:b/>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希乐（保温杯）</w:t>
            </w:r>
          </w:p>
        </w:tc>
        <w:tc>
          <w:tcPr>
            <w:tcW w:w="4378"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4色可选；杯体内316材质，外204材质，盖PP材质；开合自如滴水不漏；隐藏提手；含滤网；喷漆时尚；杯底防滑；</w:t>
            </w:r>
          </w:p>
        </w:tc>
        <w:tc>
          <w:tcPr>
            <w:tcW w:w="1063"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500ML</w:t>
            </w:r>
          </w:p>
        </w:tc>
        <w:tc>
          <w:tcPr>
            <w:tcW w:w="980"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45</w:t>
            </w:r>
          </w:p>
        </w:tc>
        <w:tc>
          <w:tcPr>
            <w:tcW w:w="1612"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drawing>
                <wp:inline distT="0" distB="0" distL="114300" distR="114300">
                  <wp:extent cx="838200" cy="827405"/>
                  <wp:effectExtent l="0" t="0" r="0" b="10795"/>
                  <wp:docPr id="3" name="图片 2" descr="希乐XB-22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希乐XB-22172"/>
                          <pic:cNvPicPr>
                            <a:picLocks noChangeAspect="1"/>
                          </pic:cNvPicPr>
                        </pic:nvPicPr>
                        <pic:blipFill>
                          <a:blip r:embed="rId4" cstate="print"/>
                          <a:stretch>
                            <a:fillRect/>
                          </a:stretch>
                        </pic:blipFill>
                        <pic:spPr>
                          <a:xfrm>
                            <a:off x="0" y="0"/>
                            <a:ext cx="838200" cy="82740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炊大皇（保鲜盒）</w:t>
            </w:r>
          </w:p>
        </w:tc>
        <w:tc>
          <w:tcPr>
            <w:tcW w:w="4378"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304不锈钢材质；负压微真空；不易染色；记录日期；金属导冷快；密封性好；360°防漏；可高温</w:t>
            </w:r>
          </w:p>
        </w:tc>
        <w:tc>
          <w:tcPr>
            <w:tcW w:w="1063"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1100ML</w:t>
            </w:r>
          </w:p>
        </w:tc>
        <w:tc>
          <w:tcPr>
            <w:tcW w:w="980"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b/>
                <w:bCs/>
                <w:i w:val="0"/>
                <w:iCs w:val="0"/>
                <w:color w:val="000000"/>
                <w:kern w:val="0"/>
                <w:sz w:val="24"/>
                <w:szCs w:val="24"/>
                <w:u w:val="none"/>
                <w:lang w:val="en-US" w:eastAsia="zh-CN" w:bidi="ar"/>
              </w:rPr>
              <w:t>44.9</w:t>
            </w:r>
          </w:p>
        </w:tc>
        <w:tc>
          <w:tcPr>
            <w:tcW w:w="1612" w:type="dxa"/>
            <w:vAlign w:val="top"/>
          </w:tcPr>
          <w:p>
            <w:pPr>
              <w:jc w:val="center"/>
              <w:rPr>
                <w:rFonts w:hint="default" w:eastAsiaTheme="minorEastAsia"/>
                <w:sz w:val="32"/>
                <w:szCs w:val="32"/>
                <w:lang w:val="en-US" w:eastAsia="zh-CN"/>
              </w:rPr>
            </w:pPr>
            <w:r>
              <w:drawing>
                <wp:inline distT="0" distB="0" distL="114300" distR="114300">
                  <wp:extent cx="915670" cy="919480"/>
                  <wp:effectExtent l="0" t="0" r="17780" b="13970"/>
                  <wp:docPr id="4" name="图片 3" descr="炊大皇110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炊大皇1100ML"/>
                          <pic:cNvPicPr>
                            <a:picLocks noChangeAspect="1"/>
                          </pic:cNvPicPr>
                        </pic:nvPicPr>
                        <pic:blipFill>
                          <a:blip r:embed="rId5" cstate="print"/>
                          <a:stretch>
                            <a:fillRect/>
                          </a:stretch>
                        </pic:blipFill>
                        <pic:spPr>
                          <a:xfrm>
                            <a:off x="0" y="0"/>
                            <a:ext cx="915670" cy="91948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3</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希乐（保温饭盒）</w:t>
            </w:r>
          </w:p>
        </w:tc>
        <w:tc>
          <w:tcPr>
            <w:tcW w:w="4378"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316不锈钢；可微波加热；隐藏把手；防密封防漏；中控隔热防烫层；加厚PP外壳；内外胆可拆分</w:t>
            </w:r>
          </w:p>
        </w:tc>
        <w:tc>
          <w:tcPr>
            <w:tcW w:w="1063"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600ML+440ML</w:t>
            </w:r>
          </w:p>
        </w:tc>
        <w:tc>
          <w:tcPr>
            <w:tcW w:w="980"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b/>
                <w:bCs/>
                <w:i w:val="0"/>
                <w:iCs w:val="0"/>
                <w:color w:val="000000"/>
                <w:kern w:val="0"/>
                <w:sz w:val="24"/>
                <w:szCs w:val="24"/>
                <w:u w:val="none"/>
                <w:lang w:val="en-US" w:eastAsia="zh-CN" w:bidi="ar"/>
              </w:rPr>
              <w:t>46.9</w:t>
            </w:r>
          </w:p>
        </w:tc>
        <w:tc>
          <w:tcPr>
            <w:tcW w:w="1612" w:type="dxa"/>
            <w:vAlign w:val="top"/>
          </w:tcPr>
          <w:p>
            <w:pPr>
              <w:jc w:val="center"/>
              <w:rPr>
                <w:rFonts w:hint="default"/>
                <w:sz w:val="32"/>
                <w:szCs w:val="32"/>
                <w:lang w:val="en-US"/>
              </w:rPr>
            </w:pPr>
            <w:r>
              <w:drawing>
                <wp:inline distT="0" distB="0" distL="114300" distR="114300">
                  <wp:extent cx="898525" cy="1024890"/>
                  <wp:effectExtent l="0" t="0" r="15875" b="3810"/>
                  <wp:docPr id="5" name="图片 4" descr="希乐（保温饭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希乐（保温饭盒）"/>
                          <pic:cNvPicPr>
                            <a:picLocks noChangeAspect="1"/>
                          </pic:cNvPicPr>
                        </pic:nvPicPr>
                        <pic:blipFill>
                          <a:blip r:embed="rId6" cstate="print"/>
                          <a:stretch>
                            <a:fillRect/>
                          </a:stretch>
                        </pic:blipFill>
                        <pic:spPr>
                          <a:xfrm>
                            <a:off x="0" y="0"/>
                            <a:ext cx="898525" cy="10248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4</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物生物（保温杯）</w:t>
            </w:r>
          </w:p>
        </w:tc>
        <w:tc>
          <w:tcPr>
            <w:tcW w:w="4378"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6色可选；8层守护；便携提手；细腻云握感；360°防漏；</w:t>
            </w:r>
          </w:p>
        </w:tc>
        <w:tc>
          <w:tcPr>
            <w:tcW w:w="1063"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500ML</w:t>
            </w:r>
          </w:p>
        </w:tc>
        <w:tc>
          <w:tcPr>
            <w:tcW w:w="980"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b/>
                <w:bCs/>
                <w:i w:val="0"/>
                <w:iCs w:val="0"/>
                <w:color w:val="000000"/>
                <w:kern w:val="0"/>
                <w:sz w:val="24"/>
                <w:szCs w:val="24"/>
                <w:u w:val="none"/>
                <w:lang w:val="en-US" w:eastAsia="zh-CN" w:bidi="ar"/>
              </w:rPr>
              <w:t>39.9</w:t>
            </w:r>
          </w:p>
        </w:tc>
        <w:tc>
          <w:tcPr>
            <w:tcW w:w="1612" w:type="dxa"/>
            <w:vAlign w:val="top"/>
          </w:tcPr>
          <w:p>
            <w:pPr>
              <w:jc w:val="center"/>
              <w:rPr>
                <w:rFonts w:hint="eastAsia"/>
                <w:sz w:val="32"/>
                <w:szCs w:val="32"/>
              </w:rPr>
            </w:pPr>
            <w:r>
              <w:drawing>
                <wp:inline distT="0" distB="0" distL="114300" distR="114300">
                  <wp:extent cx="828675" cy="831850"/>
                  <wp:effectExtent l="0" t="0" r="9525" b="6350"/>
                  <wp:docPr id="20" name="图片 19" descr="物生物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物生物2"/>
                          <pic:cNvPicPr>
                            <a:picLocks noChangeAspect="1"/>
                          </pic:cNvPicPr>
                        </pic:nvPicPr>
                        <pic:blipFill>
                          <a:blip r:embed="rId7" cstate="print"/>
                          <a:stretch>
                            <a:fillRect/>
                          </a:stretch>
                        </pic:blipFill>
                        <pic:spPr>
                          <a:xfrm>
                            <a:off x="0" y="0"/>
                            <a:ext cx="828675" cy="83185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5</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物生物（保温杯）</w:t>
            </w:r>
          </w:p>
        </w:tc>
        <w:tc>
          <w:tcPr>
            <w:tcW w:w="4378"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11色可选；抗菌率99.8%；316L内胆；舒适提拎，外出方便带;UP保温杯</w:t>
            </w:r>
          </w:p>
        </w:tc>
        <w:tc>
          <w:tcPr>
            <w:tcW w:w="1063"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550ML</w:t>
            </w:r>
          </w:p>
        </w:tc>
        <w:tc>
          <w:tcPr>
            <w:tcW w:w="980"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b/>
                <w:bCs/>
                <w:i w:val="0"/>
                <w:iCs w:val="0"/>
                <w:color w:val="000000"/>
                <w:kern w:val="0"/>
                <w:sz w:val="24"/>
                <w:szCs w:val="24"/>
                <w:u w:val="none"/>
                <w:lang w:val="en-US" w:eastAsia="zh-CN" w:bidi="ar"/>
              </w:rPr>
              <w:t>49.9</w:t>
            </w:r>
          </w:p>
        </w:tc>
        <w:tc>
          <w:tcPr>
            <w:tcW w:w="1612" w:type="dxa"/>
            <w:vAlign w:val="top"/>
          </w:tcPr>
          <w:p>
            <w:pPr>
              <w:jc w:val="center"/>
              <w:rPr>
                <w:rFonts w:hint="eastAsia"/>
                <w:sz w:val="32"/>
                <w:szCs w:val="32"/>
              </w:rPr>
            </w:pPr>
            <w:r>
              <w:drawing>
                <wp:inline distT="0" distB="0" distL="114300" distR="114300">
                  <wp:extent cx="829945" cy="833120"/>
                  <wp:effectExtent l="0" t="0" r="8255" b="5080"/>
                  <wp:docPr id="19" name="图片 18" descr="物生物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物生物1"/>
                          <pic:cNvPicPr>
                            <a:picLocks noChangeAspect="1"/>
                          </pic:cNvPicPr>
                        </pic:nvPicPr>
                        <pic:blipFill>
                          <a:blip r:embed="rId8" cstate="print"/>
                          <a:stretch>
                            <a:fillRect/>
                          </a:stretch>
                        </pic:blipFill>
                        <pic:spPr>
                          <a:xfrm>
                            <a:off x="0" y="0"/>
                            <a:ext cx="829945" cy="8331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6</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KING SHORE(毛巾)</w:t>
            </w:r>
          </w:p>
        </w:tc>
        <w:tc>
          <w:tcPr>
            <w:tcW w:w="4378"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双色可选；105g纯棉；缎边：卡通；材质：乌兹别克斯坦长绒棉</w:t>
            </w:r>
          </w:p>
        </w:tc>
        <w:tc>
          <w:tcPr>
            <w:tcW w:w="1063"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2条装</w:t>
            </w:r>
          </w:p>
        </w:tc>
        <w:tc>
          <w:tcPr>
            <w:tcW w:w="980"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b/>
                <w:bCs/>
                <w:i w:val="0"/>
                <w:iCs w:val="0"/>
                <w:color w:val="000000"/>
                <w:kern w:val="0"/>
                <w:sz w:val="24"/>
                <w:szCs w:val="24"/>
                <w:u w:val="none"/>
                <w:lang w:val="en-US" w:eastAsia="zh-CN" w:bidi="ar"/>
              </w:rPr>
              <w:t>23</w:t>
            </w:r>
          </w:p>
        </w:tc>
        <w:tc>
          <w:tcPr>
            <w:tcW w:w="1612" w:type="dxa"/>
            <w:vAlign w:val="top"/>
          </w:tcPr>
          <w:p>
            <w:pPr>
              <w:jc w:val="center"/>
              <w:rPr>
                <w:rFonts w:hint="eastAsia" w:ascii="Times New Roman" w:hAnsi="Times New Roman" w:eastAsia="仿宋" w:cs="Times New Roman"/>
                <w:b/>
                <w:kern w:val="0"/>
                <w:sz w:val="24"/>
                <w:szCs w:val="24"/>
                <w:lang w:val="en-US" w:eastAsia="zh-CN"/>
              </w:rPr>
            </w:pPr>
            <w:r>
              <w:drawing>
                <wp:inline distT="0" distB="0" distL="114300" distR="114300">
                  <wp:extent cx="940435" cy="1112520"/>
                  <wp:effectExtent l="0" t="0" r="12065" b="11430"/>
                  <wp:docPr id="10" name="图片 9" descr="金号（KING SHORE）毛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金号（KING SHORE）毛巾"/>
                          <pic:cNvPicPr>
                            <a:picLocks noChangeAspect="1"/>
                          </pic:cNvPicPr>
                        </pic:nvPicPr>
                        <pic:blipFill>
                          <a:blip r:embed="rId9" cstate="print"/>
                          <a:stretch>
                            <a:fillRect/>
                          </a:stretch>
                        </pic:blipFill>
                        <pic:spPr>
                          <a:xfrm>
                            <a:off x="0" y="0"/>
                            <a:ext cx="940435" cy="11125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7</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romoss三合一快充数据线</w:t>
            </w:r>
          </w:p>
        </w:tc>
        <w:tc>
          <w:tcPr>
            <w:tcW w:w="4378"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伸缩式，一拖三,三色可选，输入接口类型：Lighting Type-C USB2.0,输出接口类型：Micro USB Type-C Apple Lighting</w:t>
            </w:r>
          </w:p>
        </w:tc>
        <w:tc>
          <w:tcPr>
            <w:tcW w:w="1063"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1.1米</w:t>
            </w:r>
          </w:p>
        </w:tc>
        <w:tc>
          <w:tcPr>
            <w:tcW w:w="980"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b/>
                <w:bCs/>
                <w:i w:val="0"/>
                <w:iCs w:val="0"/>
                <w:color w:val="000000"/>
                <w:kern w:val="0"/>
                <w:sz w:val="24"/>
                <w:szCs w:val="24"/>
                <w:u w:val="none"/>
                <w:lang w:val="en-US" w:eastAsia="zh-CN" w:bidi="ar"/>
              </w:rPr>
              <w:t>28</w:t>
            </w:r>
          </w:p>
        </w:tc>
        <w:tc>
          <w:tcPr>
            <w:tcW w:w="1612" w:type="dxa"/>
            <w:vAlign w:val="top"/>
          </w:tcPr>
          <w:p>
            <w:pPr>
              <w:jc w:val="center"/>
              <w:rPr>
                <w:rFonts w:hint="eastAsia" w:ascii="Times New Roman" w:hAnsi="Times New Roman" w:eastAsia="仿宋" w:cs="Times New Roman"/>
                <w:b/>
                <w:kern w:val="0"/>
                <w:sz w:val="24"/>
                <w:szCs w:val="24"/>
                <w:lang w:val="en-US" w:eastAsia="zh-CN"/>
              </w:rPr>
            </w:pPr>
            <w:r>
              <w:drawing>
                <wp:inline distT="0" distB="0" distL="114300" distR="114300">
                  <wp:extent cx="831215" cy="871855"/>
                  <wp:effectExtent l="0" t="0" r="6985" b="4445"/>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0" cstate="print"/>
                          <a:srcRect/>
                          <a:stretch>
                            <a:fillRect/>
                          </a:stretch>
                        </pic:blipFill>
                        <pic:spPr>
                          <a:xfrm>
                            <a:off x="0" y="0"/>
                            <a:ext cx="831215" cy="871855"/>
                          </a:xfrm>
                          <a:prstGeom prst="rect">
                            <a:avLst/>
                          </a:prstGeom>
                          <a:noFill/>
                          <a:ln w="1">
                            <a:noFill/>
                            <a:miter lim="800000"/>
                            <a:headEnd/>
                            <a:tailEnd type="none" w="med" len="med"/>
                          </a:ln>
                          <a:effectLst/>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8</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熊猫倒计时小夜灯台历</w:t>
            </w:r>
          </w:p>
        </w:tc>
        <w:tc>
          <w:tcPr>
            <w:tcW w:w="4378"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木质底座（15*4.5*3CM)，灯板材质：亚克力板(18*17.5CM)，电源线长度约1.4米，供电方式：USB插电开关，礼盒尺寸：18*18**3.5CM,可定制LOGO</w:t>
            </w:r>
          </w:p>
        </w:tc>
        <w:tc>
          <w:tcPr>
            <w:tcW w:w="1063" w:type="dxa"/>
            <w:vAlign w:val="center"/>
          </w:tcPr>
          <w:p>
            <w:pPr>
              <w:jc w:val="center"/>
              <w:rPr>
                <w:rFonts w:hint="eastAsia" w:ascii="Times New Roman" w:hAnsi="Times New Roman" w:eastAsia="仿宋" w:cs="Times New Roman"/>
                <w:b/>
                <w:kern w:val="0"/>
                <w:sz w:val="24"/>
                <w:szCs w:val="24"/>
                <w:lang w:val="en-US" w:eastAsia="zh-CN" w:bidi="ar-SA"/>
              </w:rPr>
            </w:pPr>
          </w:p>
        </w:tc>
        <w:tc>
          <w:tcPr>
            <w:tcW w:w="980"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b/>
                <w:bCs/>
                <w:i w:val="0"/>
                <w:iCs w:val="0"/>
                <w:color w:val="000000"/>
                <w:kern w:val="0"/>
                <w:sz w:val="24"/>
                <w:szCs w:val="24"/>
                <w:u w:val="none"/>
                <w:lang w:val="en-US" w:eastAsia="zh-CN" w:bidi="ar"/>
              </w:rPr>
              <w:t>30</w:t>
            </w:r>
          </w:p>
        </w:tc>
        <w:tc>
          <w:tcPr>
            <w:tcW w:w="1612" w:type="dxa"/>
            <w:vAlign w:val="top"/>
          </w:tcPr>
          <w:p>
            <w:pPr>
              <w:jc w:val="center"/>
              <w:rPr>
                <w:rFonts w:hint="eastAsia" w:ascii="Times New Roman" w:hAnsi="Times New Roman" w:eastAsia="仿宋" w:cs="Times New Roman"/>
                <w:b/>
                <w:kern w:val="0"/>
                <w:sz w:val="24"/>
                <w:szCs w:val="24"/>
                <w:lang w:val="en-US" w:eastAsia="zh-CN"/>
              </w:rPr>
            </w:pPr>
            <w:r>
              <w:drawing>
                <wp:inline distT="0" distB="0" distL="114300" distR="114300">
                  <wp:extent cx="895985" cy="836295"/>
                  <wp:effectExtent l="0" t="0" r="18415" b="190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cstate="print"/>
                          <a:srcRect/>
                          <a:stretch>
                            <a:fillRect/>
                          </a:stretch>
                        </pic:blipFill>
                        <pic:spPr>
                          <a:xfrm>
                            <a:off x="0" y="0"/>
                            <a:ext cx="895985" cy="836295"/>
                          </a:xfrm>
                          <a:prstGeom prst="rect">
                            <a:avLst/>
                          </a:prstGeom>
                          <a:noFill/>
                          <a:ln w="1">
                            <a:noFill/>
                            <a:miter lim="800000"/>
                            <a:headEnd/>
                            <a:tailEnd type="none" w="med" len="med"/>
                          </a:ln>
                          <a:effectLst/>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9</w:t>
            </w:r>
          </w:p>
        </w:tc>
        <w:tc>
          <w:tcPr>
            <w:tcW w:w="18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JUST A MAN背包</w:t>
            </w:r>
          </w:p>
        </w:tc>
        <w:tc>
          <w:tcPr>
            <w:tcW w:w="4378"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材质：外尼龙+网、内涤纶；黑、浅灰双色；</w:t>
            </w:r>
          </w:p>
        </w:tc>
        <w:tc>
          <w:tcPr>
            <w:tcW w:w="1063"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45*35*14cm</w:t>
            </w:r>
          </w:p>
        </w:tc>
        <w:tc>
          <w:tcPr>
            <w:tcW w:w="980"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45</w:t>
            </w:r>
          </w:p>
        </w:tc>
        <w:tc>
          <w:tcPr>
            <w:tcW w:w="1612" w:type="dxa"/>
            <w:vAlign w:val="top"/>
          </w:tcPr>
          <w:p>
            <w:pPr>
              <w:jc w:val="center"/>
              <w:rPr>
                <w:rFonts w:hint="eastAsia" w:ascii="Times New Roman" w:hAnsi="Times New Roman" w:eastAsia="仿宋" w:cs="Times New Roman"/>
                <w:b/>
                <w:kern w:val="0"/>
                <w:sz w:val="24"/>
                <w:szCs w:val="24"/>
                <w:lang w:val="en-US" w:eastAsia="zh-CN"/>
              </w:rPr>
            </w:pPr>
            <w:r>
              <w:drawing>
                <wp:inline distT="0" distB="0" distL="114300" distR="114300">
                  <wp:extent cx="943610" cy="955675"/>
                  <wp:effectExtent l="0" t="0" r="8890" b="15875"/>
                  <wp:docPr id="16" name="图片 15" descr="推荐背包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推荐背包1"/>
                          <pic:cNvPicPr>
                            <a:picLocks noChangeAspect="1"/>
                          </pic:cNvPicPr>
                        </pic:nvPicPr>
                        <pic:blipFill>
                          <a:blip r:embed="rId12" cstate="print"/>
                          <a:stretch>
                            <a:fillRect/>
                          </a:stretch>
                        </pic:blipFill>
                        <pic:spPr>
                          <a:xfrm>
                            <a:off x="0" y="0"/>
                            <a:ext cx="943610" cy="9556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合同期限3年，以实际送货量据实结算。</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交付期限：合同</w:t>
            </w:r>
            <w:r>
              <w:rPr>
                <w:rFonts w:hint="eastAsia" w:ascii="方正仿宋_GBK" w:hAnsi="方正仿宋_GBK" w:eastAsia="方正仿宋_GBK" w:cs="方正仿宋_GBK"/>
                <w:sz w:val="24"/>
                <w:szCs w:val="24"/>
                <w:lang w:eastAsia="zh-CN"/>
              </w:rPr>
              <w:t>期间</w:t>
            </w:r>
            <w:r>
              <w:rPr>
                <w:rFonts w:hint="eastAsia" w:ascii="方正仿宋_GBK" w:hAnsi="方正仿宋_GBK" w:eastAsia="方正仿宋_GBK" w:cs="方正仿宋_GBK"/>
                <w:sz w:val="24"/>
                <w:szCs w:val="24"/>
                <w:lang w:val="en-US" w:eastAsia="zh-CN"/>
              </w:rPr>
              <w:t>采购人发出送货通知后5个工作日</w:t>
            </w:r>
            <w:r>
              <w:rPr>
                <w:rFonts w:hint="eastAsia" w:ascii="方正仿宋_GBK" w:hAnsi="方正仿宋_GBK" w:eastAsia="方正仿宋_GBK" w:cs="方正仿宋_GBK"/>
                <w:sz w:val="24"/>
                <w:szCs w:val="24"/>
              </w:rPr>
              <w:t>完成</w:t>
            </w:r>
            <w:r>
              <w:rPr>
                <w:rFonts w:hint="eastAsia" w:ascii="方正仿宋_GBK" w:hAnsi="方正仿宋_GBK" w:eastAsia="方正仿宋_GBK" w:cs="方正仿宋_GBK"/>
                <w:sz w:val="24"/>
                <w:szCs w:val="24"/>
                <w:lang w:val="en-US" w:eastAsia="zh-CN"/>
              </w:rPr>
              <w:t>送货安装调试</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4.报价要求：本次报价为人民币包干价，包含：货款、运输装卸费、税费、保险费、场地清洁费、质保期维护费用、验收检测费等完成本项目所需的一切费用。因成交供应商自身原因造成漏报、少报皆由其自行承担责任，采购人不再补偿。服务期间发生的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每半年结算一次</w:t>
            </w:r>
            <w:r>
              <w:rPr>
                <w:rFonts w:hint="eastAsia" w:ascii="方正仿宋_GBK" w:hAnsi="方正仿宋_GBK" w:eastAsia="方正仿宋_GBK" w:cs="方正仿宋_GBK"/>
                <w:sz w:val="24"/>
                <w:szCs w:val="24"/>
              </w:rPr>
              <w:t>，供应商需提供发票、</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成交供应商在接到成交通知后20日内与采购人签订合同</w:t>
            </w:r>
            <w:bookmarkEnd w:id="0"/>
            <w:r>
              <w:rPr>
                <w:rFonts w:hint="eastAsia" w:ascii="方正仿宋_GBK" w:hAnsi="方正仿宋_GBK" w:eastAsia="方正仿宋_GBK" w:cs="方正仿宋_GBK"/>
                <w:sz w:val="24"/>
                <w:szCs w:val="24"/>
                <w:lang w:eastAsia="zh-CN"/>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w:t>
            </w:r>
            <w:r>
              <w:rPr>
                <w:rFonts w:hint="eastAsia" w:ascii="方正仿宋_GBK" w:hAnsi="方正仿宋_GBK" w:eastAsia="方正仿宋_GBK" w:cs="方正仿宋_GBK"/>
                <w:sz w:val="24"/>
                <w:szCs w:val="24"/>
              </w:rPr>
              <w:t>免费送到采购人指定地点，经采购人当场开箱、共同清点、检查外观</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进行开箱</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双方签字确认。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2.供应商应保证货物到达采购人所在地时完好无损，生产日期应为1年以内的全新产品。如有缺漏、损坏，由供应商负责调换、补齐或赔偿。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3.成交供应商派遣专业技术人员在采购人指定地点对采购人使用人员进行设备使用与操作进行免费专业培训，使其能正常操作。</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4.1采购合同须与投标文件中的技术要求对照表相一致；若不满足相应要求，取消其中标资格。</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w:t>
            </w:r>
            <w:r>
              <w:rPr>
                <w:rFonts w:hint="eastAsia" w:ascii="方正仿宋_GBK" w:hAnsi="方正仿宋_GBK" w:eastAsia="方正仿宋_GBK" w:cs="方正仿宋_GBK"/>
                <w:sz w:val="24"/>
                <w:szCs w:val="24"/>
                <w:lang w:val="en-US" w:eastAsia="zh-CN"/>
              </w:rPr>
              <w:t>产品</w:t>
            </w:r>
            <w:r>
              <w:rPr>
                <w:rFonts w:hint="eastAsia" w:ascii="方正仿宋_GBK" w:hAnsi="方正仿宋_GBK" w:eastAsia="方正仿宋_GBK" w:cs="方正仿宋_GBK"/>
                <w:sz w:val="24"/>
                <w:szCs w:val="24"/>
              </w:rPr>
              <w:t>品种、规格、数量、技术参数以及商品品牌、生产厂家等与投标文件和采购合同一致，性能指标达到规定的标准。</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4.3货物技术资料、装箱单、合格证等资料齐全。</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4.4</w:t>
            </w:r>
            <w:r>
              <w:rPr>
                <w:rFonts w:hint="eastAsia" w:ascii="方正仿宋_GBK" w:hAnsi="方正仿宋_GBK" w:eastAsia="方正仿宋_GBK" w:cs="方正仿宋_GBK"/>
                <w:sz w:val="24"/>
                <w:szCs w:val="24"/>
                <w:lang w:val="en-US" w:eastAsia="zh-CN"/>
              </w:rPr>
              <w:t>验收后发现疑似产品质量问题，供应商应承担鉴定费用。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4.5在规定时间内完成交货，并经采购人确认。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5.采购人需要制造商对成交供应商交付的产品（包括质量、技术参数等）进行确认的，成交供应商须提供制造商加盖公章的书面意见。</w:t>
            </w:r>
          </w:p>
          <w:p>
            <w:pPr>
              <w:pStyle w:val="4"/>
              <w:spacing w:line="500" w:lineRule="exact"/>
              <w:ind w:firstLine="480"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6. 验收时产生争议，采购人可邀请国家认可的质量检测机构参加验收工作，产生的验收费用由供应商承担。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1.1自验收合格之日起，</w:t>
            </w:r>
            <w:r>
              <w:rPr>
                <w:rFonts w:hint="eastAsia" w:ascii="方正仿宋_GBK" w:hAnsi="方正仿宋_GBK" w:eastAsia="方正仿宋_GBK" w:cs="方正仿宋_GBK"/>
                <w:b/>
                <w:bCs/>
                <w:sz w:val="24"/>
                <w:szCs w:val="24"/>
                <w:u w:val="single"/>
              </w:rPr>
              <w:t>提供所投产品不低于</w:t>
            </w:r>
            <w:r>
              <w:rPr>
                <w:rFonts w:hint="eastAsia" w:ascii="方正仿宋_GBK" w:hAnsi="方正仿宋_GBK" w:eastAsia="方正仿宋_GBK" w:cs="方正仿宋_GBK"/>
                <w:b/>
                <w:bCs/>
                <w:sz w:val="24"/>
                <w:szCs w:val="24"/>
                <w:u w:val="single"/>
                <w:lang w:val="en-US" w:eastAsia="zh-CN"/>
              </w:rPr>
              <w:t>1</w:t>
            </w:r>
            <w:r>
              <w:rPr>
                <w:rFonts w:hint="eastAsia" w:ascii="方正仿宋_GBK" w:hAnsi="方正仿宋_GBK" w:eastAsia="方正仿宋_GBK" w:cs="方正仿宋_GBK"/>
                <w:b/>
                <w:bCs/>
                <w:sz w:val="24"/>
                <w:szCs w:val="24"/>
                <w:u w:val="single"/>
              </w:rPr>
              <w:t>年的免费质保</w:t>
            </w:r>
            <w:r>
              <w:rPr>
                <w:rFonts w:hint="eastAsia" w:ascii="方正仿宋_GBK" w:hAnsi="方正仿宋_GBK" w:eastAsia="方正仿宋_GBK" w:cs="方正仿宋_GBK"/>
                <w:b/>
                <w:bCs/>
                <w:sz w:val="24"/>
                <w:szCs w:val="24"/>
                <w:u w:val="single"/>
                <w:lang w:eastAsia="zh-CN"/>
              </w:rPr>
              <w:t>，</w:t>
            </w:r>
            <w:r>
              <w:rPr>
                <w:rFonts w:hint="eastAsia" w:ascii="方正仿宋_GBK" w:hAnsi="方正仿宋_GBK" w:eastAsia="方正仿宋_GBK" w:cs="方正仿宋_GBK"/>
                <w:b/>
                <w:bCs/>
                <w:sz w:val="24"/>
                <w:szCs w:val="24"/>
                <w:u w:val="single"/>
                <w:lang w:val="en-US" w:eastAsia="zh-CN"/>
              </w:rPr>
              <w:t>非人为损坏免费更换</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产品质保期内有任何质量问题，采购人有权要求供应商整改和退还，如产品变色、脱漆、破损等。</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1.4采购货物由产品制造商负责标准售后服务，应当在响应文件中予以明确说明，并提供相关文件。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2.1.1电话咨询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成交供应商或制造商应当为采购人提供技术援助电话，在30分钟内响应解答采购人在使用中遇到的问题，及时为采购人提出解决问题的建议。</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2.1.2现场响应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采购人遇到使用及技术问题，电话咨询不能解决的，成交供应商或制造商应在</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内派专业技术人员到达现场进行</w:t>
            </w:r>
            <w:r>
              <w:rPr>
                <w:rFonts w:hint="eastAsia" w:ascii="方正仿宋_GBK" w:hAnsi="方正仿宋_GBK" w:eastAsia="方正仿宋_GBK" w:cs="方正仿宋_GBK"/>
                <w:sz w:val="24"/>
                <w:szCs w:val="24"/>
                <w:lang w:val="en-US" w:eastAsia="zh-CN"/>
              </w:rPr>
              <w:t>处理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5小时不能解决问题的应提供备用产品。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2.1.3技术升级</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2.2质保期满服务要求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全新正规合格产品，后期发现或鉴定为假冒伪劣产品或残次品，供应商应承担所有费用并按照产品销售金额2倍进行赔偿，因产品质量问题导致的损害由供应商承担全部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051"/>
              <w:gridCol w:w="1485"/>
              <w:gridCol w:w="1485"/>
              <w:gridCol w:w="1486"/>
              <w:gridCol w:w="148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2051"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技术参数是否完全响应</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商务要求是否完全响应</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产品品牌及型号</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产品质量保证期（年）</w:t>
                  </w:r>
                </w:p>
              </w:tc>
              <w:tc>
                <w:tcPr>
                  <w:tcW w:w="1486"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产品总折扣率（</w:t>
                  </w:r>
                  <w:r>
                    <w:rPr>
                      <w:rFonts w:hint="eastAsia" w:ascii="仿宋" w:hAnsi="仿宋" w:eastAsia="仿宋" w:cs="仿宋"/>
                      <w:b/>
                      <w:bCs/>
                      <w:i w:val="0"/>
                      <w:caps w:val="0"/>
                      <w:color w:val="555555"/>
                      <w:spacing w:val="0"/>
                      <w:kern w:val="0"/>
                      <w:sz w:val="32"/>
                      <w:szCs w:val="32"/>
                      <w:vertAlign w:val="baseline"/>
                      <w:lang w:val="en-US" w:eastAsia="zh-CN" w:bidi="ar"/>
                    </w:rPr>
                    <w:t>%</w:t>
                  </w:r>
                  <w:r>
                    <w:rPr>
                      <w:rFonts w:hint="eastAsia" w:ascii="仿宋" w:hAnsi="仿宋" w:eastAsia="仿宋" w:cs="仿宋"/>
                      <w:b/>
                      <w:bCs/>
                      <w:i w:val="0"/>
                      <w:caps w:val="0"/>
                      <w:color w:val="555555"/>
                      <w:spacing w:val="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1</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vMerge w:val="restart"/>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2</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vMerge w:val="continue"/>
                  <w:tcBorders/>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3</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vMerge w:val="continue"/>
                  <w:tcBorders/>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4</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vMerge w:val="continue"/>
                  <w:tcBorders/>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5</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vMerge w:val="continue"/>
                  <w:tcBorders/>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6</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vMerge w:val="continue"/>
                  <w:tcBorders/>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7</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vMerge w:val="continue"/>
                  <w:tcBorders/>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8</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vMerge w:val="continue"/>
                  <w:tcBorders/>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9</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vMerge w:val="continue"/>
                  <w:tcBorders/>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注意：技术参数请在投标产品相关资料中提供佐证材料。成交价=限价*折扣率。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66139912"/>
      <w:bookmarkStart w:id="3" w:name="_Toc166549448"/>
      <w:bookmarkStart w:id="4" w:name="_Toc128229745"/>
      <w:bookmarkStart w:id="5" w:name="_Toc128229916"/>
      <w:bookmarkStart w:id="6" w:name="_Toc156730450"/>
      <w:bookmarkStart w:id="7" w:name="_Toc156815770"/>
      <w:bookmarkStart w:id="8" w:name="_Toc156196470"/>
      <w:bookmarkStart w:id="9" w:name="_Toc173677397"/>
      <w:bookmarkStart w:id="10" w:name="_Toc128229302"/>
      <w:bookmarkStart w:id="11" w:name="_Toc175017342"/>
      <w:bookmarkStart w:id="12" w:name="_Toc156196559"/>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28229917"/>
      <w:bookmarkStart w:id="14" w:name="_Toc175017343"/>
      <w:bookmarkStart w:id="15" w:name="_Toc173677398"/>
      <w:bookmarkStart w:id="16" w:name="_Toc156730451"/>
      <w:bookmarkStart w:id="17" w:name="_Toc166139913"/>
      <w:bookmarkStart w:id="18" w:name="_Toc128229303"/>
      <w:bookmarkStart w:id="19" w:name="_Toc156815771"/>
      <w:bookmarkStart w:id="20" w:name="_Toc156196471"/>
      <w:bookmarkStart w:id="21" w:name="_Toc166549449"/>
      <w:bookmarkStart w:id="22" w:name="_Toc128229746"/>
      <w:bookmarkStart w:id="23" w:name="_Toc156196560"/>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75017344"/>
      <w:bookmarkStart w:id="25" w:name="_Toc237057793"/>
      <w:bookmarkStart w:id="26" w:name="_Toc128229747"/>
      <w:bookmarkStart w:id="27" w:name="_Toc128014297"/>
      <w:bookmarkStart w:id="28" w:name="_Toc128229304"/>
      <w:bookmarkStart w:id="29" w:name="_Toc156196472"/>
      <w:bookmarkStart w:id="30" w:name="_Toc173677399"/>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pPr>
        <w:pStyle w:val="4"/>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13"/>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14"/>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00A5C6E"/>
    <w:rsid w:val="015B6D6E"/>
    <w:rsid w:val="056E5276"/>
    <w:rsid w:val="06FB539B"/>
    <w:rsid w:val="0C872834"/>
    <w:rsid w:val="0CE64C8D"/>
    <w:rsid w:val="0FD01451"/>
    <w:rsid w:val="122D0B62"/>
    <w:rsid w:val="1922346A"/>
    <w:rsid w:val="1AAE2C67"/>
    <w:rsid w:val="1AF86BE0"/>
    <w:rsid w:val="1B3306B6"/>
    <w:rsid w:val="1BDE0896"/>
    <w:rsid w:val="1CF00EFC"/>
    <w:rsid w:val="21426D4A"/>
    <w:rsid w:val="236757CC"/>
    <w:rsid w:val="2C3529EE"/>
    <w:rsid w:val="2FC44243"/>
    <w:rsid w:val="31092EA8"/>
    <w:rsid w:val="33FB61AD"/>
    <w:rsid w:val="342C6BC9"/>
    <w:rsid w:val="376E6279"/>
    <w:rsid w:val="38A14340"/>
    <w:rsid w:val="3D8263F7"/>
    <w:rsid w:val="44C5770F"/>
    <w:rsid w:val="44EF71C4"/>
    <w:rsid w:val="482D6FF9"/>
    <w:rsid w:val="496140CE"/>
    <w:rsid w:val="4AE139DB"/>
    <w:rsid w:val="4BDB0A24"/>
    <w:rsid w:val="4C31315D"/>
    <w:rsid w:val="4F6D75ED"/>
    <w:rsid w:val="53A17F68"/>
    <w:rsid w:val="53DB6C22"/>
    <w:rsid w:val="5E932E93"/>
    <w:rsid w:val="5FA4498B"/>
    <w:rsid w:val="61130716"/>
    <w:rsid w:val="61143219"/>
    <w:rsid w:val="61707CCC"/>
    <w:rsid w:val="626B6216"/>
    <w:rsid w:val="67CF5844"/>
    <w:rsid w:val="69D01878"/>
    <w:rsid w:val="6A1F4430"/>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7</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2024-06-21T09:23:45Z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